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225833" w:rsidP="00971491">
      <w:pPr>
        <w:jc w:val="center"/>
        <w:rPr>
          <w:b/>
          <w:i/>
        </w:rPr>
      </w:pPr>
      <w:r w:rsidRPr="00225833">
        <w:rPr>
          <w:b/>
          <w:i/>
        </w:rPr>
        <w:t>MED 2025-132 Fourniture de ADDFMS – Maladies Métaboliques et Produits de Nutrition Parentérale</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bookmarkStart w:id="1" w:name="_GoBack"/>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bookmarkEnd w:id="1"/>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w:t>
      </w:r>
      <w:r w:rsidRPr="00FD4A7C">
        <w:rPr>
          <w:rFonts w:cstheme="minorHAnsi"/>
          <w:bCs/>
        </w:rPr>
        <w:lastRenderedPageBreak/>
        <w:t>«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Préciser les finalités du traitement de données à caractère personnel</w:t>
      </w:r>
      <w:r w:rsidR="007D0E94">
        <w:rPr>
          <w:rFonts w:cstheme="minorHAnsi"/>
          <w:bCs/>
          <w:highlight w:val="yellow"/>
        </w:rPr>
        <w:t>/profesionnel</w:t>
      </w:r>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225833"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225833"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225833"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25833"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25833"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25833"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/profesionnelles</w:t>
      </w:r>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225833"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25833"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225833"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25833"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25833"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25833"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25833"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25833"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mesures de cyber-sécurité, formations, mots de passe complexes, serveur</w:t>
      </w:r>
      <w:r w:rsidR="007D0E94">
        <w:rPr>
          <w:rFonts w:cstheme="minorHAnsi"/>
          <w:bCs/>
          <w:i/>
        </w:rPr>
        <w:t>s</w:t>
      </w:r>
      <w:r>
        <w:rPr>
          <w:rFonts w:cstheme="minorHAnsi"/>
          <w:bCs/>
          <w:i/>
        </w:rPr>
        <w:t xml:space="preserve">  sécurisés,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25833"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225833"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225833"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225833"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225833"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225833"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225833"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225833"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225833"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225833"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225833"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25833"/>
    <w:rsid w:val="00246250"/>
    <w:rsid w:val="00264448"/>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A5573"/>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99C75-9988-4B8C-B353-A3F5341F4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3289</Words>
  <Characters>18092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2025-08-13T06:49:00Z</dcterms:modified>
</cp:coreProperties>
</file>